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E4B" w:rsidRPr="009B4B30" w:rsidRDefault="00AD4E4B" w:rsidP="0026620B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0" w:name="_Toc473712797"/>
      <w:bookmarkStart w:id="1" w:name="_Toc24358266"/>
      <w:bookmarkStart w:id="2" w:name="_Toc178179301"/>
      <w:r w:rsidRPr="009B4B30">
        <w:rPr>
          <w:rFonts w:asciiTheme="minorHAnsi" w:hAnsiTheme="minorHAnsi" w:cstheme="minorHAnsi"/>
          <w:sz w:val="24"/>
          <w:szCs w:val="24"/>
        </w:rPr>
        <w:t>A Vállalkozó teljesítésének minősége</w:t>
      </w:r>
      <w:bookmarkEnd w:id="0"/>
      <w:bookmarkEnd w:id="1"/>
      <w:bookmarkEnd w:id="2"/>
    </w:p>
    <w:p w:rsidR="00AD4E4B" w:rsidRPr="009B4B30" w:rsidRDefault="00AD4E4B" w:rsidP="0026620B">
      <w:pPr>
        <w:pStyle w:val="Alcm3"/>
        <w:numPr>
          <w:ilvl w:val="2"/>
          <w:numId w:val="2"/>
        </w:numPr>
        <w:rPr>
          <w:rFonts w:asciiTheme="minorHAnsi" w:hAnsiTheme="minorHAnsi" w:cstheme="minorHAnsi"/>
          <w:sz w:val="24"/>
          <w:szCs w:val="24"/>
        </w:rPr>
      </w:pPr>
      <w:bookmarkStart w:id="3" w:name="_Toc24358267"/>
      <w:bookmarkStart w:id="4" w:name="_Toc178179302"/>
      <w:r w:rsidRPr="009B4B30">
        <w:rPr>
          <w:rFonts w:asciiTheme="minorHAnsi" w:hAnsiTheme="minorHAnsi" w:cstheme="minorHAnsi"/>
          <w:sz w:val="24"/>
          <w:szCs w:val="24"/>
        </w:rPr>
        <w:t>Vállalkozói minőségirányítási rendszer</w:t>
      </w:r>
      <w:bookmarkEnd w:id="3"/>
      <w:bookmarkEnd w:id="4"/>
    </w:p>
    <w:p w:rsidR="00AD4E4B" w:rsidRPr="009B4B30" w:rsidRDefault="00AD4E4B" w:rsidP="0026620B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b/>
          <w:sz w:val="24"/>
          <w:szCs w:val="24"/>
        </w:rPr>
      </w:pPr>
      <w:bookmarkStart w:id="5" w:name="_Toc473712798"/>
      <w:r w:rsidRPr="009B4B30">
        <w:rPr>
          <w:rFonts w:asciiTheme="minorHAnsi" w:hAnsiTheme="minorHAnsi" w:cstheme="minorHAnsi"/>
          <w:sz w:val="24"/>
          <w:szCs w:val="24"/>
        </w:rPr>
        <w:t>A Vállalkozónak a Közbeszerzési Dokumentumokban meghatározottak szerinti minőségirányítási rendszerrel kell rendelkezni, és a minőségirányítási rendszerét köteles a teljesítés időszaka alatt fenntartani. A Megrendelő és/vagy a Mérnök felhívására az erre vonatkozó igazoló dokumentumokat köteles a Vállalkozó bemutatni.</w:t>
      </w:r>
      <w:bookmarkEnd w:id="5"/>
      <w:r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AD4E4B" w:rsidP="00AD4E4B">
      <w:pPr>
        <w:pStyle w:val="Alcm3"/>
        <w:numPr>
          <w:ilvl w:val="2"/>
          <w:numId w:val="2"/>
        </w:numPr>
        <w:ind w:left="709" w:hanging="709"/>
        <w:rPr>
          <w:rFonts w:asciiTheme="minorHAnsi" w:hAnsiTheme="minorHAnsi" w:cstheme="minorHAnsi"/>
          <w:sz w:val="24"/>
          <w:szCs w:val="24"/>
        </w:rPr>
      </w:pPr>
      <w:bookmarkStart w:id="6" w:name="_Toc473712799"/>
      <w:bookmarkStart w:id="7" w:name="_Toc24358268"/>
      <w:bookmarkStart w:id="8" w:name="_Toc178179303"/>
      <w:r w:rsidRPr="009B4B30">
        <w:rPr>
          <w:rFonts w:asciiTheme="minorHAnsi" w:hAnsiTheme="minorHAnsi" w:cstheme="minorHAnsi"/>
          <w:sz w:val="24"/>
          <w:szCs w:val="24"/>
        </w:rPr>
        <w:t>Az anyagok és a munkák minősége</w:t>
      </w:r>
      <w:bookmarkEnd w:id="6"/>
      <w:bookmarkEnd w:id="7"/>
      <w:bookmarkEnd w:id="8"/>
    </w:p>
    <w:p w:rsidR="0026620B" w:rsidRPr="009B4B30" w:rsidRDefault="0026620B" w:rsidP="0026620B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9" w:name="_Toc473712800"/>
      <w:r w:rsidRPr="009B4B30">
        <w:rPr>
          <w:rFonts w:asciiTheme="minorHAnsi" w:hAnsiTheme="minorHAnsi" w:cstheme="minorHAnsi"/>
          <w:bCs/>
          <w:sz w:val="24"/>
          <w:szCs w:val="24"/>
        </w:rPr>
        <w:t xml:space="preserve">II.1. </w:t>
      </w:r>
      <w:r w:rsidR="00AD4E4B" w:rsidRPr="009B4B30">
        <w:rPr>
          <w:rFonts w:asciiTheme="minorHAnsi" w:hAnsiTheme="minorHAnsi" w:cstheme="minorHAnsi"/>
          <w:bCs/>
          <w:sz w:val="24"/>
          <w:szCs w:val="24"/>
        </w:rPr>
        <w:t>A Vállalkozónak a</w:t>
      </w:r>
      <w:r w:rsidR="00AD4E4B" w:rsidRPr="009B4B30">
        <w:rPr>
          <w:rFonts w:asciiTheme="minorHAnsi" w:hAnsiTheme="minorHAnsi" w:cstheme="minorHAnsi"/>
          <w:sz w:val="24"/>
          <w:szCs w:val="24"/>
        </w:rPr>
        <w:t xml:space="preserve"> munkákat és a tervezési feladatokat a Szerződés részét képező Műszaki Előírások követelményeinek és a Közbeszerzési Eljárás megkezdésének időpontjában érvényes Útügyi Műszaki Előírások/Vasútügyi Műszaki Előírások, valamint vasútfejlesztési feladatok esetén a Pályahálózat-működtető mindenkor hatályos utasításainak figyelembevételével kell elvégezni. Mindazonáltal amennyiben az adott létesítményre vonatkozó engedély(</w:t>
      </w:r>
      <w:proofErr w:type="spellStart"/>
      <w:r w:rsidR="00AD4E4B" w:rsidRPr="009B4B30">
        <w:rPr>
          <w:rFonts w:asciiTheme="minorHAnsi" w:hAnsiTheme="minorHAnsi" w:cstheme="minorHAnsi"/>
          <w:sz w:val="24"/>
          <w:szCs w:val="24"/>
        </w:rPr>
        <w:t>ek</w:t>
      </w:r>
      <w:proofErr w:type="spellEnd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) vagy jóváhagyás(ok) alapjául szolgáló, ÉKM által átadott Engedélyezési Tervek és Kiviteli Tervek készítésekor alkalmazott Útügyi Műszaki Előírások/Vasútügyi Műszaki Előírások a Közbeszerzési Eljárás megkezdésének időpontjában érvényes Útügyi Műszaki Előírásoktól/Vasútügyi Műszaki Előírásoktól eltérők, akkor ezen, a Tervek készítésekor alkalmazott Útügyi Műszaki Előírások/Vasútügyi Műszaki Előírások figyelembe vétele szükséges, kivéve, ha Megrendelői Követelmények ettől eltérő rendelkezést tartalmaznak. </w:t>
      </w:r>
    </w:p>
    <w:p w:rsidR="00AD4E4B" w:rsidRPr="009B4B30" w:rsidRDefault="00AD4E4B" w:rsidP="0026620B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9B4B30">
        <w:rPr>
          <w:rFonts w:asciiTheme="minorHAnsi" w:hAnsiTheme="minorHAnsi" w:cstheme="minorHAnsi"/>
          <w:sz w:val="24"/>
          <w:szCs w:val="24"/>
        </w:rPr>
        <w:t xml:space="preserve">Amennyiben a fentiek alapján figyelembe veendő </w:t>
      </w:r>
      <w:r w:rsidRPr="009B4B30">
        <w:rPr>
          <w:rFonts w:asciiTheme="minorHAnsi" w:hAnsiTheme="minorHAnsi" w:cstheme="minorHAnsi"/>
          <w:b/>
          <w:sz w:val="24"/>
          <w:szCs w:val="24"/>
        </w:rPr>
        <w:t>Útügyi Műszaki Előírások/Vasútügyi Műszaki Előírások</w:t>
      </w:r>
      <w:r w:rsidRPr="009B4B30">
        <w:rPr>
          <w:rFonts w:asciiTheme="minorHAnsi" w:hAnsiTheme="minorHAnsi" w:cstheme="minorHAnsi"/>
          <w:sz w:val="24"/>
          <w:szCs w:val="24"/>
        </w:rPr>
        <w:t xml:space="preserve"> alkalmazásához állasfoglalás vagy felmentés beszerzése szükséges, úgy a kérelem összeállítása, a kérelem benyújtásának a Megrendelő felé való kezdeményezése, és az azzal kapcsolatos feladatok ellátása a Vállalkozó feladata és kötelessége. A támogató állásfoglalás, illetve felmentés megszerzésének kockázatait a Vállalkozó viseli az átalánydíjas eredménykötelemre tekintettel. Vállalkozónak a Közbeszerzési Eljárás során az ajánlatát annak figyelembevételével kellett kalkulálnia és megtennie, hogy amennyiben </w:t>
      </w:r>
      <w:r w:rsidRPr="009B4B30">
        <w:rPr>
          <w:rFonts w:asciiTheme="minorHAnsi" w:hAnsiTheme="minorHAnsi" w:cstheme="minorHAnsi"/>
          <w:b/>
          <w:sz w:val="24"/>
          <w:szCs w:val="24"/>
        </w:rPr>
        <w:t>Közbeszerzési Eljárás megkezdése és a Szerződés megkötése között az érvényes Útügyi Műszaki Előírások/Vasútügyi Műszaki Előírások tartalma megváltozna</w:t>
      </w:r>
      <w:r w:rsidRPr="009B4B30">
        <w:rPr>
          <w:rFonts w:asciiTheme="minorHAnsi" w:hAnsiTheme="minorHAnsi" w:cstheme="minorHAnsi"/>
          <w:sz w:val="24"/>
          <w:szCs w:val="24"/>
        </w:rPr>
        <w:t xml:space="preserve">, akkor azokat az átalánydíj terhére köteles a kivitelezés során alkalmazni, figyelembe véve a fentiek szerint beszerzett, vagy beszerzendő állásfoglalásban, illetve felmentésben foglaltakat is. Amennyiben a </w:t>
      </w:r>
      <w:r w:rsidRPr="009B4B30">
        <w:rPr>
          <w:rFonts w:asciiTheme="minorHAnsi" w:hAnsiTheme="minorHAnsi" w:cstheme="minorHAnsi"/>
          <w:b/>
          <w:sz w:val="24"/>
          <w:szCs w:val="24"/>
        </w:rPr>
        <w:t>teljesítés során</w:t>
      </w:r>
      <w:r w:rsidRPr="009B4B30">
        <w:rPr>
          <w:rFonts w:asciiTheme="minorHAnsi" w:hAnsiTheme="minorHAnsi" w:cstheme="minorHAnsi"/>
          <w:sz w:val="24"/>
          <w:szCs w:val="24"/>
        </w:rPr>
        <w:t xml:space="preserve"> a </w:t>
      </w:r>
      <w:r w:rsidRPr="009B4B30">
        <w:rPr>
          <w:rFonts w:asciiTheme="minorHAnsi" w:hAnsiTheme="minorHAnsi" w:cstheme="minorHAnsi"/>
          <w:b/>
          <w:sz w:val="24"/>
          <w:szCs w:val="24"/>
        </w:rPr>
        <w:t>Közbeszerzési Eljárás megkezdésének időpontjában érvényes Útügyi Műszaki Előírásokhoz/Vasútügyi Műszaki Előírásokhoz képest változás következik be</w:t>
      </w:r>
      <w:r w:rsidRPr="009B4B30">
        <w:rPr>
          <w:rFonts w:asciiTheme="minorHAnsi" w:hAnsiTheme="minorHAnsi" w:cstheme="minorHAnsi"/>
          <w:sz w:val="24"/>
          <w:szCs w:val="24"/>
        </w:rPr>
        <w:t xml:space="preserve">, </w:t>
      </w:r>
      <w:r w:rsidRPr="009B4B30">
        <w:rPr>
          <w:rFonts w:asciiTheme="minorHAnsi" w:hAnsiTheme="minorHAnsi" w:cstheme="minorHAnsi"/>
          <w:bCs/>
          <w:sz w:val="24"/>
          <w:szCs w:val="24"/>
        </w:rPr>
        <w:t xml:space="preserve">az adott munkarészt illetően a Vállalkozó köteles a Megrendelőtől állásfoglalást kérni az új </w:t>
      </w:r>
      <w:r w:rsidRPr="009B4B30">
        <w:rPr>
          <w:rFonts w:asciiTheme="minorHAnsi" w:hAnsiTheme="minorHAnsi" w:cstheme="minorHAnsi"/>
          <w:sz w:val="24"/>
          <w:szCs w:val="24"/>
        </w:rPr>
        <w:t>Útügyi Műszaki Előírások/Vasútügyi Műszaki Előírások</w:t>
      </w:r>
      <w:r w:rsidRPr="009B4B30">
        <w:rPr>
          <w:rFonts w:asciiTheme="minorHAnsi" w:hAnsiTheme="minorHAnsi" w:cstheme="minorHAnsi"/>
          <w:bCs/>
          <w:sz w:val="24"/>
          <w:szCs w:val="24"/>
        </w:rPr>
        <w:t xml:space="preserve"> alkalmazására vonatkozóan.</w:t>
      </w:r>
    </w:p>
    <w:p w:rsidR="0026620B" w:rsidRPr="009B4B30" w:rsidRDefault="0026620B" w:rsidP="0026620B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b/>
          <w:sz w:val="24"/>
          <w:szCs w:val="24"/>
        </w:rPr>
      </w:pPr>
      <w:bookmarkStart w:id="10" w:name="_Toc473712801"/>
      <w:bookmarkEnd w:id="9"/>
      <w:r w:rsidRPr="009B4B30">
        <w:rPr>
          <w:rFonts w:asciiTheme="minorHAnsi" w:hAnsiTheme="minorHAnsi" w:cstheme="minorHAnsi"/>
          <w:sz w:val="24"/>
          <w:szCs w:val="24"/>
        </w:rPr>
        <w:lastRenderedPageBreak/>
        <w:t xml:space="preserve">II.2. </w:t>
      </w:r>
      <w:r w:rsidR="00AD4E4B" w:rsidRPr="009B4B30">
        <w:rPr>
          <w:rFonts w:asciiTheme="minorHAnsi" w:hAnsiTheme="minorHAnsi" w:cstheme="minorHAnsi"/>
          <w:sz w:val="24"/>
          <w:szCs w:val="24"/>
        </w:rPr>
        <w:t xml:space="preserve">Abban az esetben, ha a </w:t>
      </w:r>
      <w:r w:rsidR="00AD4E4B" w:rsidRPr="009B4B30">
        <w:rPr>
          <w:rFonts w:asciiTheme="minorHAnsi" w:hAnsiTheme="minorHAnsi" w:cstheme="minorHAnsi"/>
          <w:b/>
          <w:sz w:val="24"/>
          <w:szCs w:val="24"/>
        </w:rPr>
        <w:t xml:space="preserve">betartandó dokumentumok kikötései </w:t>
      </w:r>
      <w:bookmarkStart w:id="11" w:name="OLE_LINK8"/>
      <w:r w:rsidR="00AD4E4B" w:rsidRPr="009B4B30">
        <w:rPr>
          <w:rFonts w:asciiTheme="minorHAnsi" w:hAnsiTheme="minorHAnsi" w:cstheme="minorHAnsi"/>
          <w:b/>
          <w:sz w:val="24"/>
          <w:szCs w:val="24"/>
        </w:rPr>
        <w:t>különböző minőségi szintet írnak elő</w:t>
      </w:r>
      <w:r w:rsidR="00AD4E4B" w:rsidRPr="009B4B30">
        <w:rPr>
          <w:rFonts w:asciiTheme="minorHAnsi" w:hAnsiTheme="minorHAnsi" w:cstheme="minorHAnsi"/>
          <w:sz w:val="24"/>
          <w:szCs w:val="24"/>
        </w:rPr>
        <w:t xml:space="preserve">, vagy a választás lehetőségét biztosítják a </w:t>
      </w:r>
      <w:bookmarkStart w:id="12" w:name="_Toc473712802"/>
      <w:bookmarkEnd w:id="10"/>
      <w:bookmarkEnd w:id="11"/>
      <w:r w:rsidRPr="009B4B30">
        <w:rPr>
          <w:rFonts w:asciiTheme="minorHAnsi" w:hAnsiTheme="minorHAnsi" w:cstheme="minorHAnsi"/>
          <w:sz w:val="24"/>
          <w:szCs w:val="24"/>
        </w:rPr>
        <w:t>Megrendelő utasítása irányadó.</w:t>
      </w:r>
      <w:r w:rsidRPr="009B4B30">
        <w:rPr>
          <w:rFonts w:asciiTheme="minorHAnsi" w:hAnsiTheme="minorHAnsi" w:cstheme="minorHAnsi"/>
          <w:bCs/>
          <w:sz w:val="24"/>
          <w:szCs w:val="24"/>
        </w:rPr>
        <w:t xml:space="preserve"> Az adott munkarészt illetően a Vállalkozó köteles a Megrendelőtől állásfoglalást kérni az alkalmazandó minőségi szintre, az alkalmazandó kikötésekre vonatkozóan.</w:t>
      </w:r>
      <w:r w:rsidRPr="009B4B30">
        <w:rPr>
          <w:rFonts w:asciiTheme="minorHAnsi" w:hAnsiTheme="minorHAnsi" w:cstheme="minorHAnsi"/>
          <w:sz w:val="24"/>
          <w:szCs w:val="24"/>
        </w:rPr>
        <w:t xml:space="preserve"> A Megrendelő eltérő rendelkezése hiányában a </w:t>
      </w:r>
      <w:r w:rsidRPr="009B4B30">
        <w:rPr>
          <w:rFonts w:asciiTheme="minorHAnsi" w:hAnsiTheme="minorHAnsi" w:cstheme="minorHAnsi"/>
          <w:b/>
          <w:sz w:val="24"/>
          <w:szCs w:val="24"/>
        </w:rPr>
        <w:t>magasabb minőségi szintet biztosító dokumentum az irányadó.</w:t>
      </w:r>
    </w:p>
    <w:p w:rsidR="00AD4E4B" w:rsidRPr="009B4B30" w:rsidRDefault="0026620B" w:rsidP="0026620B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9B4B30">
        <w:rPr>
          <w:rFonts w:asciiTheme="minorHAnsi" w:hAnsiTheme="minorHAnsi" w:cstheme="minorHAnsi"/>
          <w:sz w:val="24"/>
          <w:szCs w:val="24"/>
        </w:rPr>
        <w:t xml:space="preserve">II.3. </w:t>
      </w:r>
      <w:r w:rsidR="00AD4E4B" w:rsidRPr="009B4B30">
        <w:rPr>
          <w:rFonts w:asciiTheme="minorHAnsi" w:hAnsiTheme="minorHAnsi" w:cstheme="minorHAnsi"/>
          <w:sz w:val="24"/>
          <w:szCs w:val="24"/>
        </w:rPr>
        <w:t>A Vállalkozó köteles elvégezni azokat a vizsgálatokat, amelyeket a Mérnök indokolt esetben előír a készítés, gyártás vagy előkészítés helyén, vagy a Munkaterületen, vagy más egyéb helyen vagy helyeken.</w:t>
      </w:r>
      <w:bookmarkEnd w:id="12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Vállalkozó köteles továbbá elvégezni a Vasútügyi Műszaki Előírásokban rögzített, a Tanúsító Szervezet munkájához, és az EK- illetve a Nemzeti Szabványok szerinti hitelesítés elvégzéséhez szükséges vizsgálatokat.</w:t>
      </w:r>
    </w:p>
    <w:p w:rsidR="00AD4E4B" w:rsidRPr="009B4B30" w:rsidRDefault="0026620B" w:rsidP="0026620B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3" w:name="_Toc473712803"/>
      <w:r w:rsidRPr="009B4B30">
        <w:rPr>
          <w:rFonts w:asciiTheme="minorHAnsi" w:hAnsiTheme="minorHAnsi" w:cstheme="minorHAnsi"/>
          <w:sz w:val="24"/>
          <w:szCs w:val="24"/>
        </w:rPr>
        <w:t xml:space="preserve">II.4. </w:t>
      </w:r>
      <w:r w:rsidR="00AD4E4B" w:rsidRPr="009B4B30">
        <w:rPr>
          <w:rFonts w:asciiTheme="minorHAnsi" w:hAnsiTheme="minorHAnsi" w:cstheme="minorHAnsi"/>
          <w:sz w:val="24"/>
          <w:szCs w:val="24"/>
        </w:rPr>
        <w:t>A Vállalkozónak a kivitelezéséhez korszerű műszaki eszközöket és anyagokat, minőségellenőrzést és olyan felügyeletet kell biztosítania, amely szükséges a határidők betartásához és a minőségi követelmények teljesítéséhez.</w:t>
      </w:r>
      <w:bookmarkEnd w:id="13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26620B" w:rsidP="0026620B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 w:rsidRPr="009B4B30">
        <w:rPr>
          <w:rFonts w:asciiTheme="minorHAnsi" w:hAnsiTheme="minorHAnsi" w:cstheme="minorHAnsi"/>
          <w:sz w:val="24"/>
          <w:szCs w:val="24"/>
        </w:rPr>
        <w:t xml:space="preserve">II.5. </w:t>
      </w:r>
      <w:r w:rsidR="00AD4E4B" w:rsidRPr="009B4B30">
        <w:rPr>
          <w:rFonts w:asciiTheme="minorHAnsi" w:hAnsiTheme="minorHAnsi" w:cstheme="minorHAnsi"/>
          <w:sz w:val="24"/>
          <w:szCs w:val="24"/>
        </w:rPr>
        <w:t xml:space="preserve">Vállalkozó köteles a Műszaki Dokumentációban és az Árazott Költségvetési Kiírásban szereplő egyes, beépítésre tervezett termékek, anyagok és berendezési tárgyak Kooperációs Értekezleten a Megrendelő által meghatározott számú választási lehetőséget tartalmazó mintakollekcióját, az ugyanott egyeztetett határidőre – ennek hiányában a folyamatos munkavégzést biztosító kellő időben –kiválasztás céljából a Megrendelőnek bemutatni </w:t>
      </w:r>
      <w:r w:rsidR="00AD4E4B" w:rsidRPr="009B4B30">
        <w:rPr>
          <w:rFonts w:asciiTheme="minorHAnsi" w:hAnsiTheme="minorHAnsi" w:cstheme="minorHAnsi"/>
          <w:b/>
          <w:sz w:val="24"/>
          <w:szCs w:val="24"/>
        </w:rPr>
        <w:t>(Mintáztatás</w:t>
      </w:r>
      <w:r w:rsidR="00AD4E4B" w:rsidRPr="009B4B30">
        <w:rPr>
          <w:rFonts w:asciiTheme="minorHAnsi" w:hAnsiTheme="minorHAnsi" w:cstheme="minorHAnsi"/>
          <w:sz w:val="24"/>
          <w:szCs w:val="24"/>
        </w:rPr>
        <w:t>). A mintakollekcióban kizárólag olyan anyag, termék, vagy berendezési tárgy szerepelhet, amely a Műszaki Leírás szerinti specifikációnak megfelel (műszakilag egyenértékű). Megrendelő köteles a bemutatott mintakollekcióval kapcsolatos döntését 5 (öt) munkanapon belül közölni. A Vállalkozó kizárólag a Megrendelő vagy a Mérnök által elfogadott anyagokat, és termékeket jogosult beépíteni.</w:t>
      </w:r>
    </w:p>
    <w:p w:rsidR="00AD4E4B" w:rsidRPr="009B4B30" w:rsidRDefault="00AD4E4B" w:rsidP="00AD4E4B">
      <w:pPr>
        <w:pStyle w:val="Alcm3"/>
        <w:numPr>
          <w:ilvl w:val="2"/>
          <w:numId w:val="2"/>
        </w:numPr>
        <w:ind w:left="709" w:hanging="709"/>
        <w:rPr>
          <w:rFonts w:asciiTheme="minorHAnsi" w:hAnsiTheme="minorHAnsi" w:cstheme="minorHAnsi"/>
          <w:sz w:val="24"/>
          <w:szCs w:val="24"/>
        </w:rPr>
      </w:pPr>
      <w:bookmarkStart w:id="14" w:name="_Toc299609129"/>
      <w:bookmarkStart w:id="15" w:name="_Toc473712804"/>
      <w:bookmarkStart w:id="16" w:name="_Toc24358269"/>
      <w:bookmarkStart w:id="17" w:name="_Toc178179304"/>
      <w:r w:rsidRPr="009B4B30">
        <w:rPr>
          <w:rFonts w:asciiTheme="minorHAnsi" w:hAnsiTheme="minorHAnsi" w:cstheme="minorHAnsi"/>
          <w:sz w:val="24"/>
          <w:szCs w:val="24"/>
        </w:rPr>
        <w:t>Minták és vizsgálatok költsége</w:t>
      </w:r>
      <w:bookmarkEnd w:id="14"/>
      <w:bookmarkEnd w:id="15"/>
      <w:bookmarkEnd w:id="16"/>
      <w:bookmarkEnd w:id="17"/>
    </w:p>
    <w:p w:rsidR="00AD4E4B" w:rsidRPr="009B4B30" w:rsidRDefault="0026620B" w:rsidP="0026620B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8" w:name="_Toc473712805"/>
      <w:r w:rsidRPr="009B4B30">
        <w:rPr>
          <w:rFonts w:asciiTheme="minorHAnsi" w:hAnsiTheme="minorHAnsi" w:cstheme="minorHAnsi"/>
          <w:sz w:val="24"/>
          <w:szCs w:val="24"/>
        </w:rPr>
        <w:t xml:space="preserve">III.1. </w:t>
      </w:r>
      <w:r w:rsidR="00AD4E4B" w:rsidRPr="009B4B30">
        <w:rPr>
          <w:rFonts w:asciiTheme="minorHAnsi" w:hAnsiTheme="minorHAnsi" w:cstheme="minorHAnsi"/>
          <w:sz w:val="24"/>
          <w:szCs w:val="24"/>
        </w:rPr>
        <w:t>A Vállalkozónak kell szolgáltatni az összes mintát a saját költségén, és bármely mérés vagy vizsgálat költségét a Vállalkozó viseli, ha azok biztosítása, elvégzése a Szerződés rendelkezéseiből következik, vagy a Szerződés írja elő; ideértve továbbá a vonatkozó jogszabály(ok) által Vállalkozói feladatként előírt összes mintát, illetve mintavételi és megfelelőség-igazolási tervet (322/2015.(X.30.) Korm. rendelet 29.§ (1) bekezdés, illetve a helyébe lépő jogszabály).</w:t>
      </w:r>
      <w:bookmarkEnd w:id="18"/>
    </w:p>
    <w:p w:rsidR="00AD4E4B" w:rsidRPr="009B4B30" w:rsidRDefault="00EB39DF" w:rsidP="0026620B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9" w:name="_Toc473712806"/>
      <w:r w:rsidRPr="009B4B30">
        <w:rPr>
          <w:rFonts w:asciiTheme="minorHAnsi" w:hAnsiTheme="minorHAnsi" w:cstheme="minorHAnsi"/>
          <w:sz w:val="24"/>
          <w:szCs w:val="24"/>
        </w:rPr>
        <w:t xml:space="preserve">III.2. </w:t>
      </w:r>
      <w:r w:rsidR="00AD4E4B" w:rsidRPr="009B4B30">
        <w:rPr>
          <w:rFonts w:asciiTheme="minorHAnsi" w:hAnsiTheme="minorHAnsi" w:cstheme="minorHAnsi"/>
          <w:sz w:val="24"/>
          <w:szCs w:val="24"/>
        </w:rPr>
        <w:t xml:space="preserve">Vállalkozó köteles elvégezni bármely, a Mérnök által szükségesnek ítélt olyan mérést vagy vizsgálatot, amely a Szerződésben nincs előírva, vagy elő van írva, de a Mérnök úgy rendeli el, </w:t>
      </w:r>
      <w:r w:rsidR="00AD4E4B" w:rsidRPr="009B4B30">
        <w:rPr>
          <w:rFonts w:asciiTheme="minorHAnsi" w:hAnsiTheme="minorHAnsi" w:cstheme="minorHAnsi"/>
          <w:sz w:val="24"/>
          <w:szCs w:val="24"/>
        </w:rPr>
        <w:lastRenderedPageBreak/>
        <w:t>hogy a vizsgálatot bármely más, a Munkaterülettől, vagy az anyagok előállítási, gyártási, vagy elkészítési helyétől különböző helyen kell elvégezni</w:t>
      </w:r>
      <w:bookmarkEnd w:id="19"/>
      <w:r w:rsidR="00AD4E4B" w:rsidRPr="009B4B30">
        <w:rPr>
          <w:rFonts w:asciiTheme="minorHAnsi" w:hAnsiTheme="minorHAnsi" w:cstheme="minorHAnsi"/>
          <w:sz w:val="24"/>
          <w:szCs w:val="24"/>
        </w:rPr>
        <w:t>.</w:t>
      </w:r>
    </w:p>
    <w:p w:rsidR="00AD4E4B" w:rsidRPr="009B4B30" w:rsidRDefault="00EB39DF" w:rsidP="0026620B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i/>
          <w:sz w:val="24"/>
          <w:szCs w:val="24"/>
        </w:rPr>
      </w:pPr>
      <w:bookmarkStart w:id="20" w:name="_Toc473712807"/>
      <w:r w:rsidRPr="009B4B30">
        <w:rPr>
          <w:rFonts w:asciiTheme="minorHAnsi" w:hAnsiTheme="minorHAnsi" w:cstheme="minorHAnsi"/>
          <w:sz w:val="24"/>
          <w:szCs w:val="24"/>
        </w:rPr>
        <w:t xml:space="preserve">III.3. </w:t>
      </w:r>
      <w:r w:rsidR="00AD4E4B" w:rsidRPr="009B4B30">
        <w:rPr>
          <w:rFonts w:asciiTheme="minorHAnsi" w:hAnsiTheme="minorHAnsi" w:cstheme="minorHAnsi"/>
          <w:sz w:val="24"/>
          <w:szCs w:val="24"/>
        </w:rPr>
        <w:t>Amennyiben a Vállalkozó úgy ítéli meg, hogy a Mérnök által elrendelt fenti mérés, vizsgálat elvégzése a Megvalósítási Időt befolyásolja, köteles erről a Mérnököt és a Megrendelőt írásban értesíteni. A Mérnök ez esetben köteles a Vállalkozó és a Megrendelő részvételével a vizsgálat tárgyában közös egyeztetést tartani, amelynek alapján a Megrendelő dönt a mérés, vizsgálat végrehajtásáról.</w:t>
      </w:r>
      <w:bookmarkEnd w:id="20"/>
    </w:p>
    <w:p w:rsidR="00AD4E4B" w:rsidRPr="009B4B30" w:rsidRDefault="00EB39DF" w:rsidP="0026620B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i/>
          <w:sz w:val="24"/>
          <w:szCs w:val="24"/>
        </w:rPr>
      </w:pPr>
      <w:bookmarkStart w:id="21" w:name="_Toc473712808"/>
      <w:r w:rsidRPr="009B4B30">
        <w:rPr>
          <w:rFonts w:asciiTheme="minorHAnsi" w:hAnsiTheme="minorHAnsi" w:cstheme="minorHAnsi"/>
          <w:sz w:val="24"/>
          <w:szCs w:val="24"/>
        </w:rPr>
        <w:t xml:space="preserve">III.4. </w:t>
      </w:r>
      <w:r w:rsidR="00AD4E4B" w:rsidRPr="009B4B30">
        <w:rPr>
          <w:rFonts w:asciiTheme="minorHAnsi" w:hAnsiTheme="minorHAnsi" w:cstheme="minorHAnsi"/>
          <w:sz w:val="24"/>
          <w:szCs w:val="24"/>
        </w:rPr>
        <w:t>Amennyiben a Megrendelő a mérések, vizsgálatok elvégzése mellett dönt, a Vállalkozó többletköltség érvényesítésére nem jogosult akkor, ha a Vállalkozó felelősségi körébe tartozó okból került sor a mérések, vizsgálatok elvégzésre.</w:t>
      </w:r>
      <w:bookmarkEnd w:id="21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AD4E4B" w:rsidP="00AD4E4B">
      <w:pPr>
        <w:pStyle w:val="Alcm3"/>
        <w:numPr>
          <w:ilvl w:val="2"/>
          <w:numId w:val="2"/>
        </w:numPr>
        <w:ind w:left="709" w:hanging="709"/>
        <w:rPr>
          <w:rFonts w:asciiTheme="minorHAnsi" w:hAnsiTheme="minorHAnsi" w:cstheme="minorHAnsi"/>
          <w:sz w:val="24"/>
          <w:szCs w:val="24"/>
        </w:rPr>
      </w:pPr>
      <w:bookmarkStart w:id="22" w:name="_Toc299609133"/>
      <w:bookmarkStart w:id="23" w:name="_Toc473712809"/>
      <w:bookmarkStart w:id="24" w:name="_Toc24358270"/>
      <w:bookmarkStart w:id="25" w:name="_Toc178179305"/>
      <w:r w:rsidRPr="009B4B30">
        <w:rPr>
          <w:rFonts w:asciiTheme="minorHAnsi" w:hAnsiTheme="minorHAnsi" w:cstheme="minorHAnsi"/>
          <w:sz w:val="24"/>
          <w:szCs w:val="24"/>
        </w:rPr>
        <w:t>Ellenőrzés és vizsgálat</w:t>
      </w:r>
      <w:bookmarkEnd w:id="22"/>
      <w:bookmarkEnd w:id="23"/>
      <w:bookmarkEnd w:id="24"/>
      <w:bookmarkEnd w:id="25"/>
    </w:p>
    <w:p w:rsidR="00AD4E4B" w:rsidRPr="009B4B30" w:rsidRDefault="00EB39DF" w:rsidP="00EB39DF">
      <w:pPr>
        <w:pStyle w:val="lista4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26" w:name="_Toc473712810"/>
      <w:r w:rsidRPr="009B4B30">
        <w:rPr>
          <w:rFonts w:asciiTheme="minorHAnsi" w:hAnsiTheme="minorHAnsi" w:cstheme="minorHAnsi"/>
          <w:sz w:val="24"/>
          <w:szCs w:val="24"/>
        </w:rPr>
        <w:t xml:space="preserve">IV.1. </w:t>
      </w:r>
      <w:r w:rsidR="00AD4E4B" w:rsidRPr="009B4B30">
        <w:rPr>
          <w:rFonts w:asciiTheme="minorHAnsi" w:hAnsiTheme="minorHAnsi" w:cstheme="minorHAnsi"/>
          <w:sz w:val="24"/>
          <w:szCs w:val="24"/>
        </w:rPr>
        <w:t xml:space="preserve">A Mérnök, a Megrendelő, továbbá vasútfejlesztési projekt esetén a Pályahálózat-működtető, valamint a Tanúsító Szervezet jogosult arra, hogy az építés, elkészítés, gyártás vagy előkészítés alatt </w:t>
      </w:r>
      <w:r w:rsidR="00AD4E4B" w:rsidRPr="009B4B30">
        <w:rPr>
          <w:rFonts w:asciiTheme="minorHAnsi" w:hAnsiTheme="minorHAnsi" w:cstheme="minorHAnsi"/>
          <w:b/>
          <w:sz w:val="24"/>
          <w:szCs w:val="24"/>
        </w:rPr>
        <w:t>ellenőrizze és megvizsgálja az anyagokat, berendezéseket és beszerelendő tárgyakat</w:t>
      </w:r>
      <w:r w:rsidR="00AD4E4B" w:rsidRPr="009B4B30">
        <w:rPr>
          <w:rFonts w:asciiTheme="minorHAnsi" w:hAnsiTheme="minorHAnsi" w:cstheme="minorHAnsi"/>
          <w:sz w:val="24"/>
          <w:szCs w:val="24"/>
        </w:rPr>
        <w:t>. Ha az anyagokat, berendezéseket nem a Vállalkozó műhelyeiben vagy területein készítik, gyártják vagy készítik elő, a Vállalkozó köteles a Mérnök, a Megrendelő, illetve a Pályahálózat-működtető, valamint a Tanúsító Szervezet részére engedélyt szerezni, hogy elvégezhessék az ilyen felülvizsgálatot és vizsgálatot az érintett műhelyekben és helyeken.</w:t>
      </w:r>
      <w:bookmarkEnd w:id="26"/>
    </w:p>
    <w:p w:rsidR="00AD4E4B" w:rsidRPr="009B4B30" w:rsidRDefault="00EB39DF" w:rsidP="00EB39DF">
      <w:pPr>
        <w:pStyle w:val="lista4szint"/>
        <w:widowControl w:val="0"/>
        <w:numPr>
          <w:ilvl w:val="0"/>
          <w:numId w:val="0"/>
        </w:numPr>
        <w:rPr>
          <w:rFonts w:asciiTheme="minorHAnsi" w:hAnsiTheme="minorHAnsi" w:cstheme="minorHAnsi"/>
          <w:i/>
          <w:sz w:val="24"/>
          <w:szCs w:val="24"/>
        </w:rPr>
      </w:pPr>
      <w:bookmarkStart w:id="27" w:name="_Toc473712811"/>
      <w:r w:rsidRPr="009B4B30">
        <w:rPr>
          <w:rFonts w:asciiTheme="minorHAnsi" w:hAnsiTheme="minorHAnsi" w:cstheme="minorHAnsi"/>
          <w:sz w:val="24"/>
          <w:szCs w:val="24"/>
        </w:rPr>
        <w:t xml:space="preserve">IV.2. </w:t>
      </w:r>
      <w:r w:rsidR="00AD4E4B" w:rsidRPr="009B4B30">
        <w:rPr>
          <w:rFonts w:asciiTheme="minorHAnsi" w:hAnsiTheme="minorHAnsi" w:cstheme="minorHAnsi"/>
          <w:sz w:val="24"/>
          <w:szCs w:val="24"/>
        </w:rPr>
        <w:t>A Vállalkozót nem mentesíti a szerződéses kötelezettsége és felelőssége alól a Mérnök, a Megrendelő, továbbá vasútfejlesztési projekt esetén a Pályahálózat-működtető, valamint a Tanúsító Szervezet által elrendelt ilyen felülvizsgálat vagy vizsgálat.</w:t>
      </w:r>
      <w:bookmarkEnd w:id="27"/>
    </w:p>
    <w:p w:rsidR="00AD4E4B" w:rsidRPr="009B4B30" w:rsidRDefault="00AD4E4B" w:rsidP="00AD4E4B">
      <w:pPr>
        <w:pStyle w:val="Alcm3"/>
        <w:numPr>
          <w:ilvl w:val="2"/>
          <w:numId w:val="2"/>
        </w:numPr>
        <w:ind w:left="709" w:hanging="709"/>
        <w:rPr>
          <w:rFonts w:asciiTheme="minorHAnsi" w:hAnsiTheme="minorHAnsi" w:cstheme="minorHAnsi"/>
          <w:sz w:val="24"/>
          <w:szCs w:val="24"/>
        </w:rPr>
      </w:pPr>
      <w:bookmarkStart w:id="28" w:name="_Toc299609134"/>
      <w:bookmarkStart w:id="29" w:name="_Toc473712812"/>
      <w:bookmarkStart w:id="30" w:name="_Toc24358271"/>
      <w:bookmarkStart w:id="31" w:name="_Toc178179306"/>
      <w:r w:rsidRPr="009B4B30">
        <w:rPr>
          <w:rFonts w:asciiTheme="minorHAnsi" w:hAnsiTheme="minorHAnsi" w:cstheme="minorHAnsi"/>
          <w:sz w:val="24"/>
          <w:szCs w:val="24"/>
        </w:rPr>
        <w:t>Az ellenőrzés és a vizsgálat időpontjai</w:t>
      </w:r>
      <w:bookmarkEnd w:id="28"/>
      <w:bookmarkEnd w:id="29"/>
      <w:bookmarkEnd w:id="30"/>
      <w:bookmarkEnd w:id="31"/>
    </w:p>
    <w:p w:rsidR="00AD4E4B" w:rsidRPr="009B4B30" w:rsidRDefault="00EB39DF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32" w:name="_Toc473712813"/>
      <w:r w:rsidRPr="009B4B30">
        <w:rPr>
          <w:rFonts w:asciiTheme="minorHAnsi" w:hAnsiTheme="minorHAnsi" w:cstheme="minorHAnsi"/>
          <w:sz w:val="24"/>
          <w:szCs w:val="24"/>
        </w:rPr>
        <w:t xml:space="preserve">V.1. </w:t>
      </w:r>
      <w:r w:rsidR="00AD4E4B" w:rsidRPr="009B4B30">
        <w:rPr>
          <w:rFonts w:asciiTheme="minorHAnsi" w:hAnsiTheme="minorHAnsi" w:cstheme="minorHAnsi"/>
          <w:sz w:val="24"/>
          <w:szCs w:val="24"/>
        </w:rPr>
        <w:t xml:space="preserve">A Megrendelő és/vagy a Mérnök jogosult megvizsgálni a Vállalkozó laboratóriumait és vizsgáló helyeit abból a szempontból, hogy azok műszakilag a Szerződés alapján megfelelőek-e. Amennyiben a Vállalkozó laboratóriumai és vizsgáló helyei a vizsgálat szerint nem megfelelőek, a </w:t>
      </w:r>
      <w:proofErr w:type="spellStart"/>
      <w:r w:rsidR="00AD4E4B" w:rsidRPr="009B4B30">
        <w:rPr>
          <w:rFonts w:asciiTheme="minorHAnsi" w:hAnsiTheme="minorHAnsi" w:cstheme="minorHAnsi"/>
          <w:sz w:val="24"/>
          <w:szCs w:val="24"/>
        </w:rPr>
        <w:t>Mérnöknak</w:t>
      </w:r>
      <w:proofErr w:type="spellEnd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jogában áll utasítani a Vállalkozót, hogy a laboratóriumait és vizsgáló helyeit harmadik személlyel vizsgáltassa felül. A felülvizsgálat eredményeinek megfelelően a Vállalkozónak saját költségére el kell végeznie a megkívánt javításokat.</w:t>
      </w:r>
      <w:bookmarkEnd w:id="32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AD4E4B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33" w:name="_Toc473712814"/>
      <w:r w:rsidRPr="009B4B30">
        <w:rPr>
          <w:rFonts w:asciiTheme="minorHAnsi" w:hAnsiTheme="minorHAnsi" w:cstheme="minorHAnsi"/>
          <w:sz w:val="24"/>
          <w:szCs w:val="24"/>
        </w:rPr>
        <w:t xml:space="preserve">A Vállalkozó a mérő- és vizsgáló berendezéseit a Mérnök által elfogadott intézménnyel köteles </w:t>
      </w:r>
      <w:proofErr w:type="spellStart"/>
      <w:r w:rsidRPr="009B4B30">
        <w:rPr>
          <w:rFonts w:asciiTheme="minorHAnsi" w:hAnsiTheme="minorHAnsi" w:cstheme="minorHAnsi"/>
          <w:sz w:val="24"/>
          <w:szCs w:val="24"/>
        </w:rPr>
        <w:t>hitelesíttetni</w:t>
      </w:r>
      <w:proofErr w:type="spellEnd"/>
      <w:r w:rsidRPr="009B4B30">
        <w:rPr>
          <w:rFonts w:asciiTheme="minorHAnsi" w:hAnsiTheme="minorHAnsi" w:cstheme="minorHAnsi"/>
          <w:sz w:val="24"/>
          <w:szCs w:val="24"/>
        </w:rPr>
        <w:t xml:space="preserve"> azzal, hogy minden ilyen költséget a Vállalkozónak kell viselnie.</w:t>
      </w:r>
      <w:bookmarkEnd w:id="33"/>
    </w:p>
    <w:p w:rsidR="00AD4E4B" w:rsidRPr="009B4B30" w:rsidRDefault="00EB39DF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34" w:name="_Toc473712815"/>
      <w:r w:rsidRPr="009B4B30">
        <w:rPr>
          <w:rFonts w:asciiTheme="minorHAnsi" w:hAnsiTheme="minorHAnsi" w:cstheme="minorHAnsi"/>
          <w:sz w:val="24"/>
          <w:szCs w:val="24"/>
        </w:rPr>
        <w:lastRenderedPageBreak/>
        <w:t xml:space="preserve">V.2. </w:t>
      </w:r>
      <w:r w:rsidR="00AD4E4B" w:rsidRPr="009B4B30">
        <w:rPr>
          <w:rFonts w:asciiTheme="minorHAnsi" w:hAnsiTheme="minorHAnsi" w:cstheme="minorHAnsi"/>
          <w:sz w:val="24"/>
          <w:szCs w:val="24"/>
        </w:rPr>
        <w:t>A Vállalkozó köteles egyeztetni a Mérnök</w:t>
      </w:r>
      <w:r w:rsidRPr="009B4B30">
        <w:rPr>
          <w:rFonts w:asciiTheme="minorHAnsi" w:hAnsiTheme="minorHAnsi" w:cstheme="minorHAnsi"/>
          <w:sz w:val="24"/>
          <w:szCs w:val="24"/>
        </w:rPr>
        <w:t>kel</w:t>
      </w:r>
      <w:r w:rsidR="00AD4E4B" w:rsidRPr="009B4B30">
        <w:rPr>
          <w:rFonts w:asciiTheme="minorHAnsi" w:hAnsiTheme="minorHAnsi" w:cstheme="minorHAnsi"/>
          <w:sz w:val="24"/>
          <w:szCs w:val="24"/>
        </w:rPr>
        <w:t>, vasútfejlesztési projekt esetén a Pályahálózat-működtetővel, valamint a Tanúsító Szervezettel minden anyag, berendezés felülvizsgálatának és vizsgálatának időpontját és helyét. Ha a Mérnök, illetve a Pályahálózat-működtető, vagy a Tanúsító Szervezet meghatalmazott képviselője nem jelenik meg az egyeztetett időpontban, a Vállalkozó jogosult – a Mérnök, Pályahálózat-működtető, vagy a Tanúsító Szervezet eltérő utasításának hiányában – elvégezni a vizsgálatokat, amelyeket úgy kell tekinteni, mintha a Mérnök, Pályahálózat-működtető, vagy a Tanúsító Szervezet jelenlétében végezték volna el. Az anyagok, berendezések vizsgálatáról és felülvizsgálatáról, annak eredményéről a vizsgálatot, felülvizsgálatot végző szervezet által hitelesített tanúsítványt kell kiállítani. A Vállalkozó a tanúsítványt haladéktalanul köteles a Mérnöknek, illetve a Pályahálózat-működtetőnek továbbítani.</w:t>
      </w:r>
      <w:bookmarkEnd w:id="34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AD4E4B" w:rsidP="00AD4E4B">
      <w:pPr>
        <w:pStyle w:val="Alcm3"/>
        <w:numPr>
          <w:ilvl w:val="2"/>
          <w:numId w:val="2"/>
        </w:numPr>
        <w:ind w:left="709" w:hanging="709"/>
        <w:rPr>
          <w:rFonts w:asciiTheme="minorHAnsi" w:hAnsiTheme="minorHAnsi" w:cstheme="minorHAnsi"/>
          <w:sz w:val="24"/>
          <w:szCs w:val="24"/>
        </w:rPr>
      </w:pPr>
      <w:bookmarkStart w:id="35" w:name="_Toc299609135"/>
      <w:bookmarkStart w:id="36" w:name="_Toc473712816"/>
      <w:bookmarkStart w:id="37" w:name="_Toc24358272"/>
      <w:bookmarkStart w:id="38" w:name="_Toc178179307"/>
      <w:r w:rsidRPr="009B4B30">
        <w:rPr>
          <w:rFonts w:asciiTheme="minorHAnsi" w:hAnsiTheme="minorHAnsi" w:cstheme="minorHAnsi"/>
          <w:sz w:val="24"/>
          <w:szCs w:val="24"/>
        </w:rPr>
        <w:t>Anyag, berendezés elutasítás</w:t>
      </w:r>
      <w:bookmarkEnd w:id="35"/>
      <w:r w:rsidRPr="009B4B30">
        <w:rPr>
          <w:rFonts w:asciiTheme="minorHAnsi" w:hAnsiTheme="minorHAnsi" w:cstheme="minorHAnsi"/>
          <w:sz w:val="24"/>
          <w:szCs w:val="24"/>
        </w:rPr>
        <w:t>a</w:t>
      </w:r>
      <w:bookmarkEnd w:id="36"/>
      <w:bookmarkEnd w:id="37"/>
      <w:bookmarkEnd w:id="38"/>
    </w:p>
    <w:p w:rsidR="00AD4E4B" w:rsidRPr="009B4B30" w:rsidRDefault="00EB39DF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39" w:name="_Toc473712817"/>
      <w:r w:rsidRPr="009B4B30">
        <w:rPr>
          <w:rFonts w:asciiTheme="minorHAnsi" w:hAnsiTheme="minorHAnsi" w:cstheme="minorHAnsi"/>
          <w:sz w:val="24"/>
          <w:szCs w:val="24"/>
        </w:rPr>
        <w:t xml:space="preserve">VI.1. </w:t>
      </w:r>
      <w:r w:rsidR="00AD4E4B" w:rsidRPr="009B4B30">
        <w:rPr>
          <w:rFonts w:asciiTheme="minorHAnsi" w:hAnsiTheme="minorHAnsi" w:cstheme="minorHAnsi"/>
          <w:sz w:val="24"/>
          <w:szCs w:val="24"/>
        </w:rPr>
        <w:t>Amennyiben a Mérnök, vasútfejlesztési projekt esetén a Pályahálózat-működtető úgy ítéli meg, hogy az anyagok, berendezések, beszerelendő tárgyak hibásak, vagy más okból nem felelnek meg a Szerződésnek, a Mérnök, Pályahálózat-működtető jogosult az anyagokat vagy berendezéseket elutasítani a Vállalkozó egyidejű értesítése mellett. Az értesítésnek tartalmaznia kell az elutasítás okait.</w:t>
      </w:r>
      <w:bookmarkEnd w:id="39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EB39DF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i/>
          <w:sz w:val="24"/>
          <w:szCs w:val="24"/>
        </w:rPr>
      </w:pPr>
      <w:bookmarkStart w:id="40" w:name="_Toc473712818"/>
      <w:r w:rsidRPr="009B4B30">
        <w:rPr>
          <w:rFonts w:asciiTheme="minorHAnsi" w:hAnsiTheme="minorHAnsi" w:cstheme="minorHAnsi"/>
          <w:sz w:val="24"/>
          <w:szCs w:val="24"/>
        </w:rPr>
        <w:t xml:space="preserve">VI.2. </w:t>
      </w:r>
      <w:r w:rsidR="00AD4E4B" w:rsidRPr="009B4B30">
        <w:rPr>
          <w:rFonts w:asciiTheme="minorHAnsi" w:hAnsiTheme="minorHAnsi" w:cstheme="minorHAnsi"/>
          <w:sz w:val="24"/>
          <w:szCs w:val="24"/>
        </w:rPr>
        <w:t>A Vállalkozó haladéktalanul köteles kijavítani a hibát, vagy más módon gondoskodni arról, hogy az elutasított anyagok, berendezések, beszerelendő tárgyak megfeleljenek a Szerződésnek.</w:t>
      </w:r>
      <w:bookmarkEnd w:id="40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EB39DF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i/>
          <w:sz w:val="24"/>
          <w:szCs w:val="24"/>
        </w:rPr>
      </w:pPr>
      <w:bookmarkStart w:id="41" w:name="_Toc473712819"/>
      <w:r w:rsidRPr="009B4B30">
        <w:rPr>
          <w:rFonts w:asciiTheme="minorHAnsi" w:hAnsiTheme="minorHAnsi" w:cstheme="minorHAnsi"/>
          <w:sz w:val="24"/>
          <w:szCs w:val="24"/>
        </w:rPr>
        <w:t xml:space="preserve">VI.3. </w:t>
      </w:r>
      <w:r w:rsidR="00AD4E4B" w:rsidRPr="009B4B30">
        <w:rPr>
          <w:rFonts w:asciiTheme="minorHAnsi" w:hAnsiTheme="minorHAnsi" w:cstheme="minorHAnsi"/>
          <w:sz w:val="24"/>
          <w:szCs w:val="24"/>
        </w:rPr>
        <w:t>Az elutasított anyagok, berendezések ismételt vizsgálatait ugyanolyan módon és feltételekkel kell elvégezni, mint a megelőző vizsgálatot. A megismételt vizsgálatok költsége is a Vállalkozót terheli.</w:t>
      </w:r>
      <w:bookmarkEnd w:id="41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EB39DF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42" w:name="_Toc473712820"/>
      <w:r w:rsidRPr="009B4B30">
        <w:rPr>
          <w:rFonts w:asciiTheme="minorHAnsi" w:hAnsiTheme="minorHAnsi" w:cstheme="minorHAnsi"/>
          <w:sz w:val="24"/>
          <w:szCs w:val="24"/>
        </w:rPr>
        <w:t xml:space="preserve">VI.4. </w:t>
      </w:r>
      <w:r w:rsidR="00AD4E4B" w:rsidRPr="009B4B30">
        <w:rPr>
          <w:rFonts w:asciiTheme="minorHAnsi" w:hAnsiTheme="minorHAnsi" w:cstheme="minorHAnsi"/>
          <w:sz w:val="24"/>
          <w:szCs w:val="24"/>
        </w:rPr>
        <w:t>Amennyiben az ismételt vizsgálatokat követően az anyagok, berendezések, beszerelendő tárgyak továbbra is hibásak vagy más okból nem felelnek meg a Szerződésnek</w:t>
      </w:r>
      <w:r w:rsidR="00AD4E4B" w:rsidRPr="009B4B30">
        <w:rPr>
          <w:rFonts w:asciiTheme="minorHAnsi" w:hAnsiTheme="minorHAnsi" w:cstheme="minorHAnsi"/>
          <w:i/>
          <w:sz w:val="24"/>
          <w:szCs w:val="24"/>
        </w:rPr>
        <w:t>,</w:t>
      </w:r>
      <w:r w:rsidR="00AD4E4B" w:rsidRPr="009B4B30">
        <w:rPr>
          <w:rFonts w:asciiTheme="minorHAnsi" w:hAnsiTheme="minorHAnsi" w:cstheme="minorHAnsi"/>
          <w:sz w:val="24"/>
          <w:szCs w:val="24"/>
        </w:rPr>
        <w:t xml:space="preserve"> a Megrendelő jogosult megbízni az anyagok, berendezések, beszerelendő tárgyak felülvizsgálatára vagy vizsgálatára független szakértőt.</w:t>
      </w:r>
      <w:bookmarkEnd w:id="42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AD4E4B" w:rsidP="00AD4E4B">
      <w:pPr>
        <w:pStyle w:val="Alcm3"/>
        <w:numPr>
          <w:ilvl w:val="2"/>
          <w:numId w:val="2"/>
        </w:numPr>
        <w:ind w:left="709" w:hanging="709"/>
        <w:rPr>
          <w:rFonts w:asciiTheme="minorHAnsi" w:hAnsiTheme="minorHAnsi" w:cstheme="minorHAnsi"/>
          <w:sz w:val="24"/>
          <w:szCs w:val="24"/>
        </w:rPr>
      </w:pPr>
      <w:bookmarkStart w:id="43" w:name="_Toc299609137"/>
      <w:bookmarkStart w:id="44" w:name="_Toc473712821"/>
      <w:bookmarkStart w:id="45" w:name="_Toc24358273"/>
      <w:bookmarkStart w:id="46" w:name="_Toc178179308"/>
      <w:r w:rsidRPr="009B4B30">
        <w:rPr>
          <w:rFonts w:asciiTheme="minorHAnsi" w:hAnsiTheme="minorHAnsi" w:cstheme="minorHAnsi"/>
          <w:sz w:val="24"/>
          <w:szCs w:val="24"/>
        </w:rPr>
        <w:t>Vizsgálat a munka eltakarása előtt</w:t>
      </w:r>
      <w:bookmarkEnd w:id="43"/>
      <w:bookmarkEnd w:id="44"/>
      <w:bookmarkEnd w:id="45"/>
      <w:bookmarkEnd w:id="46"/>
    </w:p>
    <w:p w:rsidR="00AD4E4B" w:rsidRPr="009B4B30" w:rsidRDefault="00EB39DF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47" w:name="_Toc473712822"/>
      <w:r w:rsidRPr="009B4B30">
        <w:rPr>
          <w:rFonts w:asciiTheme="minorHAnsi" w:hAnsiTheme="minorHAnsi" w:cstheme="minorHAnsi"/>
          <w:sz w:val="24"/>
          <w:szCs w:val="24"/>
        </w:rPr>
        <w:t xml:space="preserve">VII.1. </w:t>
      </w:r>
      <w:r w:rsidR="00AD4E4B" w:rsidRPr="009B4B30">
        <w:rPr>
          <w:rFonts w:asciiTheme="minorHAnsi" w:hAnsiTheme="minorHAnsi" w:cstheme="minorHAnsi"/>
          <w:sz w:val="24"/>
          <w:szCs w:val="24"/>
        </w:rPr>
        <w:t xml:space="preserve">A Vállalkozó a Projekt egyetlen részét sem fedheti be vagy takarhatja el a Mérnök írásbeli engedélye nélkül. A Vállalkozó köteles teljes mértékben lehetővé tenni a Mérnök számára, hogy felülvizsgálja és megmérje a Projekt bármely részét, amely befedésre vagy eltakarásra kerül. A Vállalkozó köteles írásban értesíteni a Mérnököt, amikor a Projekt bármely ilyen része </w:t>
      </w:r>
      <w:r w:rsidR="00AD4E4B" w:rsidRPr="009B4B30">
        <w:rPr>
          <w:rFonts w:asciiTheme="minorHAnsi" w:hAnsiTheme="minorHAnsi" w:cstheme="minorHAnsi"/>
          <w:sz w:val="24"/>
          <w:szCs w:val="24"/>
        </w:rPr>
        <w:lastRenderedPageBreak/>
        <w:t>készül vagy elkészült és vizsgálatra alkalmas, a Mérnök pedig köteles a lehető legrövidebb határidőn belül megjelenni a Projekt ilyen részének vizsgálata és felmérése céljából, kivéve, ha a megfelelő indokok közlése mellett arról értesíti a Vállalkozót, hogy a jelen pont szerinti vizsgálatokat nem tartja szükségesnek.</w:t>
      </w:r>
      <w:bookmarkEnd w:id="47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D4E4B" w:rsidRPr="009B4B30" w:rsidRDefault="00EB39DF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48" w:name="_Toc473712823"/>
      <w:r w:rsidRPr="009B4B30">
        <w:rPr>
          <w:rFonts w:asciiTheme="minorHAnsi" w:hAnsiTheme="minorHAnsi" w:cstheme="minorHAnsi"/>
          <w:sz w:val="24"/>
          <w:szCs w:val="24"/>
        </w:rPr>
        <w:t xml:space="preserve">VII.2. </w:t>
      </w:r>
      <w:r w:rsidR="00AD4E4B" w:rsidRPr="009B4B30">
        <w:rPr>
          <w:rFonts w:asciiTheme="minorHAnsi" w:hAnsiTheme="minorHAnsi" w:cstheme="minorHAnsi"/>
          <w:sz w:val="24"/>
          <w:szCs w:val="24"/>
        </w:rPr>
        <w:t>A Vállalkozó az eltakarási engedélyt a Mérnöktől az építési naplóban köteles kérni, és Mérnök az építési naplóban köteles az engedélyt a Vállalkozónak megadni vagy az engedély megadását megtagadni, és annak az okait ismertetni.</w:t>
      </w:r>
      <w:bookmarkEnd w:id="48"/>
    </w:p>
    <w:p w:rsidR="00AD4E4B" w:rsidRPr="009B4B30" w:rsidRDefault="00EB39DF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b/>
          <w:sz w:val="24"/>
          <w:szCs w:val="24"/>
        </w:rPr>
      </w:pPr>
      <w:bookmarkStart w:id="49" w:name="_Toc299609139"/>
      <w:bookmarkStart w:id="50" w:name="_Toc473712824"/>
      <w:r w:rsidRPr="009B4B30">
        <w:rPr>
          <w:rFonts w:asciiTheme="minorHAnsi" w:hAnsiTheme="minorHAnsi" w:cstheme="minorHAnsi"/>
          <w:sz w:val="24"/>
          <w:szCs w:val="24"/>
        </w:rPr>
        <w:t xml:space="preserve">VII.3. </w:t>
      </w:r>
      <w:r w:rsidR="00AD4E4B" w:rsidRPr="009B4B30">
        <w:rPr>
          <w:rFonts w:asciiTheme="minorHAnsi" w:hAnsiTheme="minorHAnsi" w:cstheme="minorHAnsi"/>
          <w:sz w:val="24"/>
          <w:szCs w:val="24"/>
        </w:rPr>
        <w:t>A nem megfelelő munka és anyagok</w:t>
      </w:r>
      <w:bookmarkEnd w:id="49"/>
      <w:r w:rsidR="00AD4E4B" w:rsidRPr="009B4B30">
        <w:rPr>
          <w:rFonts w:asciiTheme="minorHAnsi" w:hAnsiTheme="minorHAnsi" w:cstheme="minorHAnsi"/>
          <w:sz w:val="24"/>
          <w:szCs w:val="24"/>
        </w:rPr>
        <w:t xml:space="preserve"> esetében a Mérnök, illetve a Pályahálózat-működtető jogosult elrendelni:</w:t>
      </w:r>
      <w:bookmarkEnd w:id="50"/>
    </w:p>
    <w:p w:rsidR="00AD4E4B" w:rsidRPr="009B4B30" w:rsidRDefault="00AD4E4B" w:rsidP="00AD4E4B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4"/>
          <w:szCs w:val="24"/>
        </w:rPr>
      </w:pPr>
      <w:r w:rsidRPr="009B4B30">
        <w:rPr>
          <w:rFonts w:asciiTheme="minorHAnsi" w:hAnsiTheme="minorHAnsi" w:cstheme="minorHAnsi"/>
          <w:sz w:val="24"/>
          <w:szCs w:val="24"/>
        </w:rPr>
        <w:t>minden olyan anyag Munkaterületről történő eltávolítását – az intézkedésben meghatározott határidőn belül –, amely a Mérnök véleménye szerint nem felel meg a Szerző</w:t>
      </w:r>
      <w:r w:rsidRPr="009B4B30">
        <w:rPr>
          <w:rFonts w:asciiTheme="minorHAnsi" w:hAnsiTheme="minorHAnsi" w:cstheme="minorHAnsi"/>
          <w:sz w:val="24"/>
          <w:szCs w:val="24"/>
        </w:rPr>
        <w:softHyphen/>
        <w:t>désnek,</w:t>
      </w:r>
    </w:p>
    <w:p w:rsidR="00AD4E4B" w:rsidRPr="009B4B30" w:rsidRDefault="00AD4E4B" w:rsidP="00AD4E4B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4"/>
          <w:szCs w:val="24"/>
        </w:rPr>
      </w:pPr>
      <w:r w:rsidRPr="009B4B30">
        <w:rPr>
          <w:rFonts w:asciiTheme="minorHAnsi" w:hAnsiTheme="minorHAnsi" w:cstheme="minorHAnsi"/>
          <w:sz w:val="24"/>
          <w:szCs w:val="24"/>
        </w:rPr>
        <w:t>a megfelelő és alkalmas anyagokkal történő pótlást, és helyettesítést, és</w:t>
      </w:r>
    </w:p>
    <w:p w:rsidR="00AD4E4B" w:rsidRPr="009B4B30" w:rsidRDefault="00AD4E4B" w:rsidP="00AD4E4B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4"/>
          <w:szCs w:val="24"/>
        </w:rPr>
      </w:pPr>
      <w:r w:rsidRPr="009B4B30">
        <w:rPr>
          <w:rFonts w:asciiTheme="minorHAnsi" w:hAnsiTheme="minorHAnsi" w:cstheme="minorHAnsi"/>
          <w:sz w:val="24"/>
          <w:szCs w:val="24"/>
        </w:rPr>
        <w:t xml:space="preserve">bármely munkarész elbontását és megfelelő újra kivitelezését, függetlenül minden előzetes vizsgálattól vagy közbenső teljesítésigazolástól, amennyiben </w:t>
      </w:r>
      <w:proofErr w:type="gramStart"/>
      <w:r w:rsidRPr="009B4B30">
        <w:rPr>
          <w:rFonts w:asciiTheme="minorHAnsi" w:hAnsiTheme="minorHAnsi" w:cstheme="minorHAnsi"/>
          <w:sz w:val="24"/>
          <w:szCs w:val="24"/>
        </w:rPr>
        <w:t>az anyagok,</w:t>
      </w:r>
      <w:proofErr w:type="gramEnd"/>
      <w:r w:rsidRPr="009B4B30">
        <w:rPr>
          <w:rFonts w:asciiTheme="minorHAnsi" w:hAnsiTheme="minorHAnsi" w:cstheme="minorHAnsi"/>
          <w:sz w:val="24"/>
          <w:szCs w:val="24"/>
        </w:rPr>
        <w:t xml:space="preserve"> vagy az elvégzett munka a Mérnök véleménye szerint nem felel meg a Szerződésnek,</w:t>
      </w:r>
    </w:p>
    <w:p w:rsidR="00AD4E4B" w:rsidRPr="009B4B30" w:rsidRDefault="00AD4E4B" w:rsidP="00AD4E4B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1418" w:hanging="567"/>
        <w:jc w:val="both"/>
        <w:rPr>
          <w:rFonts w:asciiTheme="minorHAnsi" w:hAnsiTheme="minorHAnsi" w:cstheme="minorHAnsi"/>
          <w:sz w:val="24"/>
          <w:szCs w:val="24"/>
        </w:rPr>
      </w:pPr>
      <w:r w:rsidRPr="009B4B30">
        <w:rPr>
          <w:rFonts w:asciiTheme="minorHAnsi" w:hAnsiTheme="minorHAnsi" w:cstheme="minorHAnsi"/>
          <w:sz w:val="24"/>
          <w:szCs w:val="24"/>
        </w:rPr>
        <w:t xml:space="preserve">a Projekt bármely részét </w:t>
      </w:r>
      <w:proofErr w:type="spellStart"/>
      <w:r w:rsidRPr="009B4B30">
        <w:rPr>
          <w:rFonts w:asciiTheme="minorHAnsi" w:hAnsiTheme="minorHAnsi" w:cstheme="minorHAnsi"/>
          <w:sz w:val="24"/>
          <w:szCs w:val="24"/>
        </w:rPr>
        <w:t>kibontatni</w:t>
      </w:r>
      <w:proofErr w:type="spellEnd"/>
      <w:r w:rsidRPr="009B4B30">
        <w:rPr>
          <w:rFonts w:asciiTheme="minorHAnsi" w:hAnsiTheme="minorHAnsi" w:cstheme="minorHAnsi"/>
          <w:sz w:val="24"/>
          <w:szCs w:val="24"/>
        </w:rPr>
        <w:t xml:space="preserve"> vagy feltárásokat készíttetni, és a kibontást, feltárást követően </w:t>
      </w:r>
      <w:proofErr w:type="spellStart"/>
      <w:r w:rsidRPr="009B4B30">
        <w:rPr>
          <w:rFonts w:asciiTheme="minorHAnsi" w:hAnsiTheme="minorHAnsi" w:cstheme="minorHAnsi"/>
          <w:sz w:val="24"/>
          <w:szCs w:val="24"/>
        </w:rPr>
        <w:t>kijavíttatni</w:t>
      </w:r>
      <w:proofErr w:type="spellEnd"/>
      <w:r w:rsidRPr="009B4B30">
        <w:rPr>
          <w:rFonts w:asciiTheme="minorHAnsi" w:hAnsiTheme="minorHAnsi" w:cstheme="minorHAnsi"/>
          <w:sz w:val="24"/>
          <w:szCs w:val="24"/>
        </w:rPr>
        <w:t xml:space="preserve"> és </w:t>
      </w:r>
      <w:proofErr w:type="spellStart"/>
      <w:r w:rsidRPr="009B4B30">
        <w:rPr>
          <w:rFonts w:asciiTheme="minorHAnsi" w:hAnsiTheme="minorHAnsi" w:cstheme="minorHAnsi"/>
          <w:sz w:val="24"/>
          <w:szCs w:val="24"/>
        </w:rPr>
        <w:t>helyreállíttatni</w:t>
      </w:r>
      <w:proofErr w:type="spellEnd"/>
      <w:r w:rsidRPr="009B4B30">
        <w:rPr>
          <w:rFonts w:asciiTheme="minorHAnsi" w:hAnsiTheme="minorHAnsi" w:cstheme="minorHAnsi"/>
          <w:sz w:val="24"/>
          <w:szCs w:val="24"/>
        </w:rPr>
        <w:t xml:space="preserve"> az ilyen részt. </w:t>
      </w:r>
    </w:p>
    <w:p w:rsidR="00AD4E4B" w:rsidRPr="009B4B30" w:rsidRDefault="00AD4E4B" w:rsidP="00EB39DF">
      <w:pPr>
        <w:tabs>
          <w:tab w:val="right" w:pos="8953"/>
        </w:tabs>
        <w:spacing w:before="240" w:after="160"/>
        <w:jc w:val="both"/>
        <w:rPr>
          <w:rFonts w:asciiTheme="minorHAnsi" w:hAnsiTheme="minorHAnsi" w:cstheme="minorHAnsi"/>
          <w:szCs w:val="24"/>
        </w:rPr>
      </w:pPr>
      <w:r w:rsidRPr="009B4B30">
        <w:rPr>
          <w:rFonts w:asciiTheme="minorHAnsi" w:hAnsiTheme="minorHAnsi" w:cstheme="minorHAnsi"/>
          <w:szCs w:val="24"/>
        </w:rPr>
        <w:t>Ezen intézkedéseket az építési naplóban is rögzíteni kell. Ezen</w:t>
      </w:r>
      <w:r w:rsidRPr="009B4B30">
        <w:rPr>
          <w:rFonts w:asciiTheme="minorHAnsi" w:hAnsiTheme="minorHAnsi" w:cstheme="minorHAnsi"/>
          <w:kern w:val="28"/>
          <w:szCs w:val="24"/>
        </w:rPr>
        <w:t xml:space="preserve"> pont szerinti intézkedések megtételére a Megrendelő is jogosult.</w:t>
      </w:r>
    </w:p>
    <w:p w:rsidR="00AD4E4B" w:rsidRPr="009B4B30" w:rsidRDefault="00AD4E4B" w:rsidP="00EB39DF">
      <w:pPr>
        <w:pStyle w:val="lista4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51" w:name="_Toc473712825"/>
      <w:r w:rsidRPr="009B4B30">
        <w:rPr>
          <w:rFonts w:asciiTheme="minorHAnsi" w:hAnsiTheme="minorHAnsi" w:cstheme="minorHAnsi"/>
          <w:sz w:val="24"/>
          <w:szCs w:val="24"/>
        </w:rPr>
        <w:t xml:space="preserve">Amennyiben a Vállalkozó nem kezdi meg a </w:t>
      </w:r>
      <w:r w:rsidR="00EB39DF" w:rsidRPr="009B4B30">
        <w:rPr>
          <w:rFonts w:asciiTheme="minorHAnsi" w:hAnsiTheme="minorHAnsi" w:cstheme="minorHAnsi"/>
          <w:sz w:val="24"/>
          <w:szCs w:val="24"/>
        </w:rPr>
        <w:t>VII</w:t>
      </w:r>
      <w:r w:rsidRPr="009B4B30">
        <w:rPr>
          <w:rFonts w:asciiTheme="minorHAnsi" w:hAnsiTheme="minorHAnsi" w:cstheme="minorHAnsi"/>
          <w:sz w:val="24"/>
          <w:szCs w:val="24"/>
        </w:rPr>
        <w:t>.3. pont szerinti utasítás végrehajtását, vagy nem hajtja végre az utasítást a meghatározott időn belül, a Megrendelő jogosult a Vállalkozó költségére és kockázatára más vállalkozót alkalmazni az utasítás végrehajtására, és az abból eredő vagy azzal kapcsolatos összes felmerülő vagy felmerült költséget a Megrendelő jogosult a Vállalkozóval szemben érvényesíteni közvetlenül a Vállalkozótól vagy a Vállalkozó által nyújtott biztosítékból.</w:t>
      </w:r>
      <w:bookmarkEnd w:id="51"/>
    </w:p>
    <w:p w:rsidR="00370DB0" w:rsidRPr="009B4B30" w:rsidRDefault="00370DB0">
      <w:pPr>
        <w:rPr>
          <w:rFonts w:asciiTheme="minorHAnsi" w:hAnsiTheme="minorHAnsi" w:cstheme="minorHAnsi"/>
          <w:szCs w:val="24"/>
        </w:rPr>
      </w:pPr>
      <w:bookmarkStart w:id="52" w:name="_GoBack"/>
      <w:bookmarkEnd w:id="52"/>
    </w:p>
    <w:sectPr w:rsidR="00370DB0" w:rsidRPr="009B4B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19FA" w:rsidRDefault="004819FA" w:rsidP="0026620B">
      <w:r>
        <w:separator/>
      </w:r>
    </w:p>
  </w:endnote>
  <w:endnote w:type="continuationSeparator" w:id="0">
    <w:p w:rsidR="004819FA" w:rsidRDefault="004819FA" w:rsidP="00266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19FA" w:rsidRDefault="004819FA" w:rsidP="0026620B">
      <w:r>
        <w:separator/>
      </w:r>
    </w:p>
  </w:footnote>
  <w:footnote w:type="continuationSeparator" w:id="0">
    <w:p w:rsidR="004819FA" w:rsidRDefault="004819FA" w:rsidP="00266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20B" w:rsidRPr="0026620B" w:rsidRDefault="0026620B" w:rsidP="0026620B">
    <w:pPr>
      <w:pStyle w:val="lfej"/>
      <w:rPr>
        <w:rFonts w:asciiTheme="minorHAnsi" w:hAnsiTheme="minorHAnsi" w:cstheme="minorHAnsi"/>
        <w:sz w:val="22"/>
        <w:szCs w:val="22"/>
      </w:rPr>
    </w:pP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26620B">
      <w:rPr>
        <w:rFonts w:asciiTheme="minorHAnsi" w:hAnsiTheme="minorHAnsi" w:cstheme="minorHAnsi"/>
        <w:sz w:val="22"/>
        <w:szCs w:val="22"/>
      </w:rPr>
      <w:t xml:space="preserve">Melléklet </w:t>
    </w:r>
  </w:p>
  <w:p w:rsidR="0026620B" w:rsidRPr="0026620B" w:rsidRDefault="0026620B" w:rsidP="0026620B">
    <w:pPr>
      <w:pStyle w:val="lfej"/>
      <w:jc w:val="right"/>
      <w:rPr>
        <w:rFonts w:asciiTheme="minorHAnsi" w:hAnsiTheme="minorHAnsi" w:cstheme="minorHAnsi"/>
      </w:rPr>
    </w:pPr>
    <w:r w:rsidRPr="0026620B">
      <w:rPr>
        <w:rFonts w:asciiTheme="minorHAnsi" w:hAnsiTheme="minorHAnsi" w:cstheme="minorHAnsi"/>
      </w:rPr>
      <w:t xml:space="preserve">                  </w:t>
    </w:r>
  </w:p>
  <w:p w:rsidR="0026620B" w:rsidRPr="0026620B" w:rsidRDefault="0026620B" w:rsidP="0026620B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26620B">
      <w:rPr>
        <w:rFonts w:asciiTheme="minorHAnsi" w:hAnsiTheme="minorHAnsi" w:cstheme="minorHAnsi"/>
        <w:sz w:val="22"/>
        <w:szCs w:val="22"/>
      </w:rPr>
      <w:t xml:space="preserve">A VÁLLALKOZÓRA VONATKOZÓ </w:t>
    </w:r>
  </w:p>
  <w:p w:rsidR="0026620B" w:rsidRPr="0026620B" w:rsidRDefault="0026620B" w:rsidP="0026620B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26620B">
      <w:rPr>
        <w:rFonts w:asciiTheme="minorHAnsi" w:hAnsiTheme="minorHAnsi" w:cstheme="minorHAnsi"/>
        <w:sz w:val="22"/>
        <w:szCs w:val="22"/>
      </w:rPr>
      <w:t>EGYEDI SZERZŐDÉSES KÖTELEZETTSÉGEK</w:t>
    </w:r>
  </w:p>
  <w:p w:rsidR="0026620B" w:rsidRPr="0026620B" w:rsidRDefault="0026620B" w:rsidP="0026620B">
    <w:pPr>
      <w:pStyle w:val="lfej"/>
      <w:jc w:val="right"/>
      <w:rPr>
        <w:rFonts w:asciiTheme="minorHAnsi" w:hAnsiTheme="minorHAnsi" w:cstheme="minorHAnsi"/>
      </w:rPr>
    </w:pPr>
  </w:p>
  <w:p w:rsidR="0026620B" w:rsidRPr="0026620B" w:rsidRDefault="0026620B" w:rsidP="0026620B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26620B">
      <w:rPr>
        <w:rFonts w:asciiTheme="minorHAnsi" w:hAnsiTheme="minorHAnsi" w:cstheme="minorHAnsi"/>
        <w:sz w:val="22"/>
        <w:szCs w:val="22"/>
      </w:rPr>
      <w:t>A VÁLLALKOZÓ FELADATAI A KIVITELEZÉS KÖRÉBEN</w:t>
    </w:r>
  </w:p>
  <w:p w:rsidR="0026620B" w:rsidRPr="0026620B" w:rsidRDefault="0026620B" w:rsidP="0026620B">
    <w:pPr>
      <w:pStyle w:val="Alcm2"/>
      <w:numPr>
        <w:ilvl w:val="0"/>
        <w:numId w:val="0"/>
      </w:numPr>
      <w:jc w:val="right"/>
      <w:rPr>
        <w:rFonts w:asciiTheme="minorHAnsi" w:hAnsiTheme="minorHAnsi" w:cstheme="minorHAnsi"/>
        <w:b w:val="0"/>
        <w:sz w:val="22"/>
        <w:szCs w:val="22"/>
      </w:rPr>
    </w:pPr>
    <w:r w:rsidRPr="0026620B">
      <w:rPr>
        <w:rFonts w:asciiTheme="minorHAnsi" w:hAnsiTheme="minorHAnsi" w:cstheme="minorHAnsi"/>
        <w:b w:val="0"/>
        <w:sz w:val="22"/>
        <w:szCs w:val="22"/>
      </w:rPr>
      <w:t xml:space="preserve">A Vállalkozó teljesítésének minősége </w:t>
    </w:r>
  </w:p>
  <w:p w:rsidR="0026620B" w:rsidRPr="0026620B" w:rsidRDefault="0026620B" w:rsidP="0026620B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26620B" w:rsidRPr="0026620B" w:rsidRDefault="0026620B" w:rsidP="0026620B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26620B">
      <w:rPr>
        <w:rFonts w:asciiTheme="minorHAnsi" w:hAnsiTheme="minorHAnsi" w:cstheme="minorHAnsi"/>
        <w:sz w:val="22"/>
        <w:szCs w:val="22"/>
      </w:rPr>
      <w:t>KIVITELEZÉSI SZERZŐDÉS</w:t>
    </w:r>
  </w:p>
  <w:p w:rsidR="0026620B" w:rsidRDefault="0026620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39DA2B6F"/>
    <w:multiLevelType w:val="multilevel"/>
    <w:tmpl w:val="EA1843D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64571A40"/>
    <w:multiLevelType w:val="multilevel"/>
    <w:tmpl w:val="DC66D03E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upperRoman"/>
      <w:lvlText w:val="%3."/>
      <w:lvlJc w:val="left"/>
      <w:pPr>
        <w:ind w:left="1080" w:hanging="108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Book Antiqua" w:hAnsi="Book Antiqua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3" w15:restartNumberingAfterBreak="0">
    <w:nsid w:val="6F236C28"/>
    <w:multiLevelType w:val="hybridMultilevel"/>
    <w:tmpl w:val="89AE65F6"/>
    <w:lvl w:ilvl="0" w:tplc="1C1A607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E4B"/>
    <w:rsid w:val="0026620B"/>
    <w:rsid w:val="00370DB0"/>
    <w:rsid w:val="004819FA"/>
    <w:rsid w:val="009B4B30"/>
    <w:rsid w:val="00AD4E4B"/>
    <w:rsid w:val="00EB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C143A"/>
  <w15:chartTrackingRefBased/>
  <w15:docId w15:val="{79A4376C-4342-44E3-9C84-CB6FD1402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D4E4B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AD4E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AD4E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AD4E4B"/>
    <w:pPr>
      <w:widowControl/>
      <w:autoSpaceDN/>
      <w:adjustRightInd/>
      <w:ind w:left="720"/>
      <w:contextualSpacing/>
    </w:pPr>
    <w:rPr>
      <w:sz w:val="20"/>
      <w:lang w:eastAsia="ar-SA"/>
    </w:rPr>
  </w:style>
  <w:style w:type="paragraph" w:customStyle="1" w:styleId="Lista1szint">
    <w:name w:val="Lista 1 szint"/>
    <w:basedOn w:val="Cmsor1"/>
    <w:qFormat/>
    <w:rsid w:val="00AD4E4B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paragraph" w:customStyle="1" w:styleId="Lista2szint">
    <w:name w:val="Lista 2 szint"/>
    <w:basedOn w:val="Lista1szint"/>
    <w:qFormat/>
    <w:rsid w:val="00AD4E4B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AD4E4B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AD4E4B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AD4E4B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AD4E4B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AD4E4B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AD4E4B"/>
    <w:rPr>
      <w:b/>
    </w:rPr>
  </w:style>
  <w:style w:type="paragraph" w:customStyle="1" w:styleId="Alcm3">
    <w:name w:val="Alcím3"/>
    <w:basedOn w:val="Lista3szint"/>
    <w:qFormat/>
    <w:rsid w:val="00AD4E4B"/>
    <w:pPr>
      <w:keepNext/>
    </w:pPr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AD4E4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266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6620B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66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6620B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8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1537</Words>
  <Characters>10611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3</cp:revision>
  <dcterms:created xsi:type="dcterms:W3CDTF">2024-12-16T16:21:00Z</dcterms:created>
  <dcterms:modified xsi:type="dcterms:W3CDTF">2024-12-17T11:14:00Z</dcterms:modified>
</cp:coreProperties>
</file>